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9A" w:rsidRDefault="00F6449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7"/>
        <w:gridCol w:w="4620"/>
        <w:gridCol w:w="268"/>
        <w:gridCol w:w="2128"/>
        <w:gridCol w:w="268"/>
        <w:gridCol w:w="1511"/>
      </w:tblGrid>
      <w:tr w:rsidR="000D3A5A" w:rsidRPr="000D3A5A" w:rsidTr="000D3A5A">
        <w:trPr>
          <w:trHeight w:val="339"/>
        </w:trPr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10700" w:type="dxa"/>
            <w:hideMark/>
          </w:tcPr>
          <w:p w:rsidR="000D3A5A" w:rsidRPr="000D3A5A" w:rsidRDefault="000D3A5A">
            <w:r w:rsidRPr="000D3A5A">
              <w:t>KÁRBEJELENTÉS</w:t>
            </w:r>
          </w:p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8220" w:type="dxa"/>
            <w:gridSpan w:val="3"/>
            <w:vMerge w:val="restart"/>
            <w:noWrap/>
            <w:hideMark/>
          </w:tcPr>
          <w:p w:rsidR="000D3A5A" w:rsidRPr="000D3A5A" w:rsidRDefault="000D3A5A" w:rsidP="000D3A5A"/>
        </w:tc>
      </w:tr>
      <w:tr w:rsidR="000D3A5A" w:rsidRPr="000D3A5A" w:rsidTr="000D3A5A">
        <w:trPr>
          <w:trHeight w:val="276"/>
        </w:trPr>
        <w:tc>
          <w:tcPr>
            <w:tcW w:w="220" w:type="dxa"/>
            <w:noWrap/>
            <w:hideMark/>
          </w:tcPr>
          <w:p w:rsidR="000D3A5A" w:rsidRPr="000D3A5A" w:rsidRDefault="000D3A5A" w:rsidP="000D3A5A"/>
        </w:tc>
        <w:tc>
          <w:tcPr>
            <w:tcW w:w="10700" w:type="dxa"/>
            <w:noWrap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8220" w:type="dxa"/>
            <w:gridSpan w:val="3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10700" w:type="dxa"/>
            <w:vMerge w:val="restart"/>
            <w:hideMark/>
          </w:tcPr>
          <w:p w:rsidR="000D3A5A" w:rsidRPr="000D3A5A" w:rsidRDefault="000D3A5A">
            <w:r w:rsidRPr="000D3A5A">
              <w:t>AUTOMATA ÜGYINTÉZÉSI MENÜPONT</w:t>
            </w:r>
            <w:r w:rsidRPr="000D3A5A">
              <w:br/>
              <w:t>Igazolások, csekkek,</w:t>
            </w:r>
            <w:r w:rsidRPr="000D3A5A">
              <w:br/>
              <w:t>nyomtatványok igénylése</w:t>
            </w:r>
          </w:p>
        </w:tc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>
            <w:r w:rsidRPr="000D3A5A">
              <w:t>Gépjármű biztosítások</w:t>
            </w:r>
          </w:p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Csekk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Díjigazolás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3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Zöldkártya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4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Kártörténetre vonatkozó igazolás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>
            <w:r w:rsidRPr="000D3A5A">
              <w:t>Vagyonbiztosítások</w:t>
            </w:r>
          </w:p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Csekk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Díjigazolás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3</w:t>
            </w:r>
          </w:p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>
            <w:r w:rsidRPr="000D3A5A">
              <w:t>Befektetéshez kötött unit-linked életbiztosítások</w:t>
            </w:r>
          </w:p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Csekk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Díjigazolás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4</w:t>
            </w:r>
          </w:p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>
            <w:r w:rsidRPr="000D3A5A">
              <w:t>Klasszikus életbiztosítások</w:t>
            </w:r>
          </w:p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Csekk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Díjigazolás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5</w:t>
            </w:r>
          </w:p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>
            <w:r w:rsidRPr="000D3A5A">
              <w:t>Balesetbiztosítások</w:t>
            </w:r>
          </w:p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Csekk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155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3298" w:type="dxa"/>
            <w:noWrap/>
            <w:hideMark/>
          </w:tcPr>
          <w:p w:rsidR="000D3A5A" w:rsidRPr="000D3A5A" w:rsidRDefault="000D3A5A">
            <w:r w:rsidRPr="000D3A5A">
              <w:t>Díjigazolás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10700" w:type="dxa"/>
            <w:hideMark/>
          </w:tcPr>
          <w:p w:rsidR="000D3A5A" w:rsidRPr="000D3A5A" w:rsidRDefault="000D3A5A" w:rsidP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noWrap/>
            <w:hideMark/>
          </w:tcPr>
          <w:p w:rsidR="000D3A5A" w:rsidRPr="000D3A5A" w:rsidRDefault="000D3A5A" w:rsidP="000D3A5A"/>
        </w:tc>
        <w:tc>
          <w:tcPr>
            <w:tcW w:w="3453" w:type="dxa"/>
            <w:gridSpan w:val="2"/>
            <w:vMerge w:val="restart"/>
            <w:noWrap/>
            <w:hideMark/>
          </w:tcPr>
          <w:p w:rsidR="000D3A5A" w:rsidRPr="000D3A5A" w:rsidRDefault="000D3A5A" w:rsidP="000D3A5A">
            <w:r w:rsidRPr="000D3A5A">
              <w:t> </w:t>
            </w:r>
          </w:p>
        </w:tc>
      </w:tr>
      <w:tr w:rsidR="000D3A5A" w:rsidRPr="000D3A5A" w:rsidTr="000D3A5A">
        <w:trPr>
          <w:trHeight w:val="339"/>
        </w:trPr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3</w:t>
            </w:r>
          </w:p>
        </w:tc>
        <w:tc>
          <w:tcPr>
            <w:tcW w:w="10700" w:type="dxa"/>
            <w:vMerge w:val="restart"/>
            <w:hideMark/>
          </w:tcPr>
          <w:p w:rsidR="000D3A5A" w:rsidRPr="000D3A5A" w:rsidRDefault="000D3A5A">
            <w:r w:rsidRPr="000D3A5A">
              <w:t>ÜGYINTÉZÉS ÉS INFORMÁCIÓ KÉRÉSE BIZTOSÍTÁSI SZERZŐDÉSSEL KAPCSOLATBAN</w:t>
            </w:r>
          </w:p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Gépjármű 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Vagyonbiztosítások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3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Befektetéshez kötött unit-linked életbiztosítások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4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Klasszikus életbiztosítások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5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Balesetbiztosítások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10700" w:type="dxa"/>
            <w:hideMark/>
          </w:tcPr>
          <w:p w:rsidR="000D3A5A" w:rsidRPr="000D3A5A" w:rsidRDefault="000D3A5A" w:rsidP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noWrap/>
            <w:hideMark/>
          </w:tcPr>
          <w:p w:rsidR="000D3A5A" w:rsidRPr="000D3A5A" w:rsidRDefault="000D3A5A" w:rsidP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4</w:t>
            </w:r>
          </w:p>
        </w:tc>
        <w:tc>
          <w:tcPr>
            <w:tcW w:w="10700" w:type="dxa"/>
            <w:vMerge w:val="restart"/>
            <w:hideMark/>
          </w:tcPr>
          <w:p w:rsidR="000D3A5A" w:rsidRPr="000D3A5A" w:rsidRDefault="000D3A5A">
            <w:r w:rsidRPr="000D3A5A">
              <w:t>KÁRBEJELENTÉS, KÁRRENDEZÉSSEL KAPCSOLATOS ÜGYINTÉZÉS</w:t>
            </w:r>
          </w:p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Gépjármű 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2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Vagyonbiztosítások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3</w:t>
            </w:r>
          </w:p>
        </w:tc>
        <w:tc>
          <w:tcPr>
            <w:tcW w:w="4767" w:type="dxa"/>
            <w:noWrap/>
            <w:hideMark/>
          </w:tcPr>
          <w:p w:rsidR="000D3A5A" w:rsidRPr="000D3A5A" w:rsidRDefault="000D3A5A">
            <w:r w:rsidRPr="000D3A5A">
              <w:t>Élet- és balesetbiztosítások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108"/>
        </w:trPr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10700" w:type="dxa"/>
            <w:hideMark/>
          </w:tcPr>
          <w:p w:rsidR="000D3A5A" w:rsidRPr="000D3A5A" w:rsidRDefault="000D3A5A" w:rsidP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noWrap/>
            <w:hideMark/>
          </w:tcPr>
          <w:p w:rsidR="000D3A5A" w:rsidRPr="000D3A5A" w:rsidRDefault="000D3A5A" w:rsidP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5</w:t>
            </w:r>
          </w:p>
        </w:tc>
        <w:tc>
          <w:tcPr>
            <w:tcW w:w="10700" w:type="dxa"/>
            <w:vMerge w:val="restart"/>
            <w:hideMark/>
          </w:tcPr>
          <w:p w:rsidR="000D3A5A" w:rsidRPr="000D3A5A" w:rsidRDefault="000D3A5A">
            <w:r w:rsidRPr="000D3A5A">
              <w:t>SIGNAL DIREKT ÜGYFÉLPORTÁLLAL VAGY DOKUMENTUMTÁRRAL KAPCSOLATOS ÜGYINTÉZÉS</w:t>
            </w:r>
          </w:p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vMerge/>
            <w:hideMark/>
          </w:tcPr>
          <w:p w:rsidR="000D3A5A" w:rsidRPr="000D3A5A" w:rsidRDefault="000D3A5A"/>
        </w:tc>
        <w:tc>
          <w:tcPr>
            <w:tcW w:w="10700" w:type="dxa"/>
            <w:vMerge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 w:rsidP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276"/>
        </w:trPr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10700" w:type="dxa"/>
            <w:noWrap/>
            <w:hideMark/>
          </w:tcPr>
          <w:p w:rsidR="000D3A5A" w:rsidRPr="000D3A5A" w:rsidRDefault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6"/>
        </w:trPr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10700" w:type="dxa"/>
            <w:noWrap/>
            <w:hideMark/>
          </w:tcPr>
          <w:p w:rsidR="000D3A5A" w:rsidRPr="000D3A5A" w:rsidRDefault="000D3A5A" w:rsidP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720"/>
        </w:trPr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6</w:t>
            </w:r>
          </w:p>
        </w:tc>
        <w:tc>
          <w:tcPr>
            <w:tcW w:w="10700" w:type="dxa"/>
            <w:hideMark/>
          </w:tcPr>
          <w:p w:rsidR="000D3A5A" w:rsidRPr="000D3A5A" w:rsidRDefault="000D3A5A">
            <w:r w:rsidRPr="000D3A5A">
              <w:t>TÁJÉKOZTATÓ JELLEGŰ MENÜPONT</w:t>
            </w:r>
          </w:p>
        </w:tc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1</w:t>
            </w:r>
          </w:p>
        </w:tc>
        <w:tc>
          <w:tcPr>
            <w:tcW w:w="4767" w:type="dxa"/>
            <w:hideMark/>
          </w:tcPr>
          <w:p w:rsidR="000D3A5A" w:rsidRPr="000D3A5A" w:rsidRDefault="000D3A5A">
            <w:proofErr w:type="spellStart"/>
            <w:r w:rsidRPr="000D3A5A">
              <w:t>Signal</w:t>
            </w:r>
            <w:proofErr w:type="spellEnd"/>
            <w:r w:rsidRPr="000D3A5A">
              <w:t xml:space="preserve"> Direkt tájékoztatás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339"/>
        </w:trPr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10700" w:type="dxa"/>
            <w:noWrap/>
            <w:hideMark/>
          </w:tcPr>
          <w:p w:rsidR="000D3A5A" w:rsidRPr="000D3A5A" w:rsidRDefault="000D3A5A" w:rsidP="000D3A5A"/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vMerge w:val="restart"/>
            <w:noWrap/>
            <w:hideMark/>
          </w:tcPr>
          <w:p w:rsidR="000D3A5A" w:rsidRPr="000D3A5A" w:rsidRDefault="000D3A5A" w:rsidP="000D3A5A">
            <w:r w:rsidRPr="000D3A5A">
              <w:t> </w:t>
            </w:r>
          </w:p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  <w:tr w:rsidR="000D3A5A" w:rsidRPr="000D3A5A" w:rsidTr="000D3A5A">
        <w:trPr>
          <w:trHeight w:val="636"/>
        </w:trPr>
        <w:tc>
          <w:tcPr>
            <w:tcW w:w="220" w:type="dxa"/>
            <w:noWrap/>
            <w:hideMark/>
          </w:tcPr>
          <w:p w:rsidR="000D3A5A" w:rsidRPr="000D3A5A" w:rsidRDefault="000D3A5A" w:rsidP="000D3A5A">
            <w:r w:rsidRPr="000D3A5A">
              <w:t>7</w:t>
            </w:r>
          </w:p>
        </w:tc>
        <w:tc>
          <w:tcPr>
            <w:tcW w:w="10700" w:type="dxa"/>
            <w:hideMark/>
          </w:tcPr>
          <w:p w:rsidR="000D3A5A" w:rsidRPr="000D3A5A" w:rsidRDefault="000D3A5A">
            <w:r w:rsidRPr="000D3A5A">
              <w:t>Panaszkezeléssel kapcsolatos általános információ</w:t>
            </w:r>
          </w:p>
        </w:tc>
        <w:tc>
          <w:tcPr>
            <w:tcW w:w="220" w:type="dxa"/>
            <w:noWrap/>
            <w:hideMark/>
          </w:tcPr>
          <w:p w:rsidR="000D3A5A" w:rsidRPr="000D3A5A" w:rsidRDefault="000D3A5A"/>
        </w:tc>
        <w:tc>
          <w:tcPr>
            <w:tcW w:w="4767" w:type="dxa"/>
            <w:vMerge/>
            <w:hideMark/>
          </w:tcPr>
          <w:p w:rsidR="000D3A5A" w:rsidRPr="000D3A5A" w:rsidRDefault="000D3A5A"/>
        </w:tc>
        <w:tc>
          <w:tcPr>
            <w:tcW w:w="3453" w:type="dxa"/>
            <w:gridSpan w:val="2"/>
            <w:vMerge/>
            <w:hideMark/>
          </w:tcPr>
          <w:p w:rsidR="000D3A5A" w:rsidRPr="000D3A5A" w:rsidRDefault="000D3A5A"/>
        </w:tc>
      </w:tr>
    </w:tbl>
    <w:p w:rsidR="00294EAA" w:rsidRDefault="00294EAA"/>
    <w:p w:rsidR="00294EAA" w:rsidRDefault="000D3A5A">
      <w:r w:rsidRPr="000D3A5A">
        <w:lastRenderedPageBreak/>
        <w:drawing>
          <wp:inline distT="0" distB="0" distL="0" distR="0">
            <wp:extent cx="5760720" cy="329578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AA"/>
    <w:rsid w:val="000D3A5A"/>
    <w:rsid w:val="00294EAA"/>
    <w:rsid w:val="007726EE"/>
    <w:rsid w:val="00F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669"/>
  <w15:chartTrackingRefBased/>
  <w15:docId w15:val="{AEF8C67E-146E-4767-B55D-0718C8A9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color w:val="000000" w:themeColor="text1"/>
        <w:sz w:val="22"/>
        <w:szCs w:val="28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26EE"/>
    <w:pPr>
      <w:keepNext/>
      <w:keepLines/>
      <w:spacing w:before="480" w:after="0"/>
      <w:outlineLvl w:val="0"/>
    </w:pPr>
    <w:rPr>
      <w:rFonts w:eastAsiaTheme="majorEastAsia"/>
      <w:b/>
      <w:bCs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726EE"/>
    <w:rPr>
      <w:rFonts w:eastAsiaTheme="majorEastAsia"/>
      <w:b/>
      <w:bCs/>
      <w:sz w:val="28"/>
    </w:rPr>
  </w:style>
  <w:style w:type="table" w:styleId="Rcsostblzat">
    <w:name w:val="Table Grid"/>
    <w:basedOn w:val="Normltblzat"/>
    <w:uiPriority w:val="59"/>
    <w:rsid w:val="0029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Edina</dc:creator>
  <cp:keywords/>
  <dc:description/>
  <cp:lastModifiedBy>Balázs Edina</cp:lastModifiedBy>
  <cp:revision>2</cp:revision>
  <dcterms:created xsi:type="dcterms:W3CDTF">2022-07-26T12:43:00Z</dcterms:created>
  <dcterms:modified xsi:type="dcterms:W3CDTF">2022-07-26T12:51:00Z</dcterms:modified>
</cp:coreProperties>
</file>